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BC" w:rsidRDefault="00700E85">
      <w:pPr>
        <w:pStyle w:val="Zhlavie10"/>
        <w:keepNext/>
        <w:keepLines/>
        <w:spacing w:after="920"/>
      </w:pPr>
      <w:bookmarkStart w:id="0" w:name="bookmark0"/>
      <w:bookmarkStart w:id="1" w:name="bookmark1"/>
      <w:bookmarkStart w:id="2" w:name="bookmark2"/>
      <w:r>
        <w:t>Príkazná zmluva</w:t>
      </w:r>
      <w:bookmarkEnd w:id="0"/>
      <w:bookmarkEnd w:id="1"/>
      <w:bookmarkEnd w:id="2"/>
      <w:r>
        <w:br/>
      </w:r>
      <w:r>
        <w:rPr>
          <w:rStyle w:val="Zkladntext"/>
          <w:b w:val="0"/>
          <w:bCs w:val="0"/>
        </w:rPr>
        <w:t>uzatvorená podľa § 724 a nasl. zák. č. 40/1964 Zb. Občianskeho zákonníka v znení</w:t>
      </w:r>
      <w:r>
        <w:rPr>
          <w:rStyle w:val="Zkladntext"/>
          <w:b w:val="0"/>
          <w:bCs w:val="0"/>
        </w:rPr>
        <w:br/>
        <w:t>neskorších predpisov medzi účastníkmi</w:t>
      </w:r>
    </w:p>
    <w:tbl>
      <w:tblPr>
        <w:tblOverlap w:val="never"/>
        <w:tblW w:w="0" w:type="auto"/>
        <w:tblLayout w:type="fixed"/>
        <w:tblCellMar>
          <w:left w:w="10" w:type="dxa"/>
          <w:right w:w="10" w:type="dxa"/>
        </w:tblCellMar>
        <w:tblLook w:val="0000" w:firstRow="0" w:lastRow="0" w:firstColumn="0" w:lastColumn="0" w:noHBand="0" w:noVBand="0"/>
      </w:tblPr>
      <w:tblGrid>
        <w:gridCol w:w="1699"/>
        <w:gridCol w:w="4457"/>
      </w:tblGrid>
      <w:tr w:rsidR="00FB4EBC">
        <w:trPr>
          <w:trHeight w:hRule="exact" w:val="313"/>
        </w:trPr>
        <w:tc>
          <w:tcPr>
            <w:tcW w:w="1699" w:type="dxa"/>
            <w:shd w:val="clear" w:color="auto" w:fill="FFFFFF"/>
          </w:tcPr>
          <w:p w:rsidR="00FB4EBC" w:rsidRDefault="00FB4EBC">
            <w:pPr>
              <w:rPr>
                <w:sz w:val="10"/>
                <w:szCs w:val="10"/>
              </w:rPr>
            </w:pPr>
          </w:p>
        </w:tc>
        <w:tc>
          <w:tcPr>
            <w:tcW w:w="4457" w:type="dxa"/>
            <w:shd w:val="clear" w:color="auto" w:fill="FFFFFF"/>
          </w:tcPr>
          <w:p w:rsidR="00FB4EBC" w:rsidRDefault="00452600">
            <w:pPr>
              <w:pStyle w:val="In0"/>
              <w:ind w:firstLine="400"/>
            </w:pPr>
            <w:r>
              <w:rPr>
                <w:b/>
                <w:bCs/>
              </w:rPr>
              <w:t>Zariadenie pre seniorov Komárno</w:t>
            </w:r>
          </w:p>
        </w:tc>
      </w:tr>
      <w:tr w:rsidR="00FB4EBC">
        <w:trPr>
          <w:trHeight w:hRule="exact" w:val="396"/>
        </w:trPr>
        <w:tc>
          <w:tcPr>
            <w:tcW w:w="1699" w:type="dxa"/>
            <w:shd w:val="clear" w:color="auto" w:fill="FFFFFF"/>
            <w:vAlign w:val="bottom"/>
          </w:tcPr>
          <w:p w:rsidR="00FB4EBC" w:rsidRDefault="00700E85">
            <w:pPr>
              <w:pStyle w:val="In0"/>
            </w:pPr>
            <w:r>
              <w:t>Sídlo:</w:t>
            </w:r>
          </w:p>
        </w:tc>
        <w:tc>
          <w:tcPr>
            <w:tcW w:w="4457" w:type="dxa"/>
            <w:shd w:val="clear" w:color="auto" w:fill="FFFFFF"/>
            <w:vAlign w:val="bottom"/>
          </w:tcPr>
          <w:p w:rsidR="00FB4EBC" w:rsidRDefault="00452600">
            <w:pPr>
              <w:pStyle w:val="In0"/>
              <w:ind w:firstLine="400"/>
            </w:pPr>
            <w:r>
              <w:t>945 01 Komárno, Špitálska 16</w:t>
            </w:r>
          </w:p>
        </w:tc>
      </w:tr>
      <w:tr w:rsidR="00FB4EBC">
        <w:trPr>
          <w:trHeight w:hRule="exact" w:val="400"/>
        </w:trPr>
        <w:tc>
          <w:tcPr>
            <w:tcW w:w="1699" w:type="dxa"/>
            <w:shd w:val="clear" w:color="auto" w:fill="FFFFFF"/>
          </w:tcPr>
          <w:p w:rsidR="00FB4EBC" w:rsidRDefault="00700E85">
            <w:pPr>
              <w:pStyle w:val="In0"/>
            </w:pPr>
            <w:r>
              <w:t>IČO:</w:t>
            </w:r>
          </w:p>
        </w:tc>
        <w:tc>
          <w:tcPr>
            <w:tcW w:w="4457" w:type="dxa"/>
            <w:shd w:val="clear" w:color="auto" w:fill="FFFFFF"/>
          </w:tcPr>
          <w:p w:rsidR="00FB4EBC" w:rsidRDefault="00452600">
            <w:pPr>
              <w:pStyle w:val="In0"/>
              <w:ind w:firstLine="400"/>
            </w:pPr>
            <w:r>
              <w:t>00352489</w:t>
            </w:r>
          </w:p>
        </w:tc>
      </w:tr>
      <w:tr w:rsidR="00FB4EBC">
        <w:trPr>
          <w:trHeight w:hRule="exact" w:val="356"/>
        </w:trPr>
        <w:tc>
          <w:tcPr>
            <w:tcW w:w="1699" w:type="dxa"/>
            <w:shd w:val="clear" w:color="auto" w:fill="FFFFFF"/>
            <w:vAlign w:val="bottom"/>
          </w:tcPr>
          <w:p w:rsidR="00FB4EBC" w:rsidRDefault="00700E85">
            <w:pPr>
              <w:pStyle w:val="In0"/>
              <w:jc w:val="both"/>
            </w:pPr>
            <w:r>
              <w:t>V zastúpení:</w:t>
            </w:r>
          </w:p>
        </w:tc>
        <w:tc>
          <w:tcPr>
            <w:tcW w:w="4457" w:type="dxa"/>
            <w:shd w:val="clear" w:color="auto" w:fill="FFFFFF"/>
            <w:vAlign w:val="bottom"/>
          </w:tcPr>
          <w:p w:rsidR="00FB4EBC" w:rsidRDefault="00452600">
            <w:pPr>
              <w:pStyle w:val="In0"/>
              <w:ind w:firstLine="400"/>
            </w:pPr>
            <w:r>
              <w:t>Mgr. Hedviga Polgárová</w:t>
            </w:r>
            <w:r w:rsidR="00700E85">
              <w:t>, riaditeľka</w:t>
            </w:r>
            <w:r w:rsidR="00BE0A76">
              <w:t xml:space="preserve"> </w:t>
            </w:r>
            <w:bookmarkStart w:id="3" w:name="_GoBack"/>
            <w:bookmarkEnd w:id="3"/>
          </w:p>
        </w:tc>
      </w:tr>
    </w:tbl>
    <w:p w:rsidR="00FB4EBC" w:rsidRDefault="00FB4EBC">
      <w:pPr>
        <w:spacing w:after="119" w:line="1" w:lineRule="exact"/>
      </w:pPr>
    </w:p>
    <w:p w:rsidR="00452600" w:rsidRDefault="00700E85">
      <w:pPr>
        <w:pStyle w:val="Zkladntext1"/>
        <w:spacing w:line="377" w:lineRule="auto"/>
        <w:rPr>
          <w:b/>
          <w:bCs/>
        </w:rPr>
      </w:pPr>
      <w:r>
        <w:rPr>
          <w:b/>
          <w:bCs/>
        </w:rPr>
        <w:t xml:space="preserve">(ďalej len „príkazca“) </w:t>
      </w:r>
    </w:p>
    <w:p w:rsidR="00FB4EBC" w:rsidRDefault="00700E85">
      <w:pPr>
        <w:pStyle w:val="Zkladntext1"/>
        <w:spacing w:line="377" w:lineRule="auto"/>
      </w:pP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1699"/>
        <w:gridCol w:w="4460"/>
      </w:tblGrid>
      <w:tr w:rsidR="00FB4EBC">
        <w:trPr>
          <w:trHeight w:hRule="exact" w:val="310"/>
        </w:trPr>
        <w:tc>
          <w:tcPr>
            <w:tcW w:w="1699" w:type="dxa"/>
            <w:shd w:val="clear" w:color="auto" w:fill="FFFFFF"/>
          </w:tcPr>
          <w:p w:rsidR="00FB4EBC" w:rsidRDefault="00FB4EBC">
            <w:pPr>
              <w:rPr>
                <w:sz w:val="10"/>
                <w:szCs w:val="10"/>
              </w:rPr>
            </w:pPr>
          </w:p>
        </w:tc>
        <w:tc>
          <w:tcPr>
            <w:tcW w:w="4460" w:type="dxa"/>
            <w:shd w:val="clear" w:color="auto" w:fill="FFFFFF"/>
          </w:tcPr>
          <w:p w:rsidR="00FB4EBC" w:rsidRDefault="00700E85">
            <w:pPr>
              <w:pStyle w:val="In0"/>
              <w:ind w:firstLine="420"/>
            </w:pPr>
            <w:r>
              <w:rPr>
                <w:b/>
                <w:bCs/>
              </w:rPr>
              <w:t>Attila Tóth</w:t>
            </w:r>
          </w:p>
        </w:tc>
      </w:tr>
      <w:tr w:rsidR="00FB4EBC">
        <w:trPr>
          <w:trHeight w:hRule="exact" w:val="403"/>
        </w:trPr>
        <w:tc>
          <w:tcPr>
            <w:tcW w:w="1699" w:type="dxa"/>
            <w:shd w:val="clear" w:color="auto" w:fill="FFFFFF"/>
            <w:vAlign w:val="bottom"/>
          </w:tcPr>
          <w:p w:rsidR="00FB4EBC" w:rsidRDefault="00700E85">
            <w:pPr>
              <w:pStyle w:val="In0"/>
            </w:pPr>
            <w:r>
              <w:t>Bytom :</w:t>
            </w:r>
          </w:p>
        </w:tc>
        <w:tc>
          <w:tcPr>
            <w:tcW w:w="4460" w:type="dxa"/>
            <w:shd w:val="clear" w:color="auto" w:fill="FFFFFF"/>
            <w:vAlign w:val="bottom"/>
          </w:tcPr>
          <w:p w:rsidR="00FB4EBC" w:rsidRDefault="00700E85">
            <w:pPr>
              <w:pStyle w:val="In0"/>
              <w:ind w:firstLine="420"/>
            </w:pPr>
            <w:r>
              <w:t>Novozámocká 1212/38, 946 51 Nesvady</w:t>
            </w:r>
          </w:p>
        </w:tc>
      </w:tr>
      <w:tr w:rsidR="00FB4EBC">
        <w:trPr>
          <w:trHeight w:hRule="exact" w:val="342"/>
        </w:trPr>
        <w:tc>
          <w:tcPr>
            <w:tcW w:w="1699" w:type="dxa"/>
            <w:shd w:val="clear" w:color="auto" w:fill="FFFFFF"/>
            <w:vAlign w:val="bottom"/>
          </w:tcPr>
          <w:p w:rsidR="00FB4EBC" w:rsidRDefault="00700E85">
            <w:pPr>
              <w:pStyle w:val="In0"/>
            </w:pPr>
            <w:r>
              <w:t>Narodený:</w:t>
            </w:r>
          </w:p>
        </w:tc>
        <w:tc>
          <w:tcPr>
            <w:tcW w:w="4460" w:type="dxa"/>
            <w:shd w:val="clear" w:color="auto" w:fill="FFFFFF"/>
            <w:vAlign w:val="bottom"/>
          </w:tcPr>
          <w:p w:rsidR="00FB4EBC" w:rsidRDefault="00700E85">
            <w:pPr>
              <w:pStyle w:val="In0"/>
              <w:ind w:firstLine="420"/>
            </w:pPr>
            <w:r>
              <w:t>3.7.1969</w:t>
            </w:r>
          </w:p>
        </w:tc>
      </w:tr>
    </w:tbl>
    <w:p w:rsidR="00FB4EBC" w:rsidRDefault="00700E85">
      <w:pPr>
        <w:pStyle w:val="Nzovtabuky0"/>
        <w:ind w:left="11"/>
      </w:pPr>
      <w:r>
        <w:t>(ďalej len „príkazník“)</w:t>
      </w:r>
    </w:p>
    <w:p w:rsidR="00FB4EBC" w:rsidRDefault="00FB4EBC">
      <w:pPr>
        <w:spacing w:after="919" w:line="1" w:lineRule="exact"/>
      </w:pPr>
    </w:p>
    <w:p w:rsidR="00FB4EBC" w:rsidRDefault="00700E85">
      <w:pPr>
        <w:pStyle w:val="Zkladntext1"/>
        <w:spacing w:after="520"/>
        <w:jc w:val="both"/>
      </w:pPr>
      <w:r>
        <w:t>ktorí súhlasne prehlasujú a svojimi podpismi potvrdzujú, že sú k právnym úkonom spôsobilí a oprávnení, a teda podľa zákona č. 40/1964 Zb. Občianskeho zákonníka v znení neskorších predpisov uzatvárajú príkaznú zmluvu s týmto obsahom a za nasledovných podmienok.</w:t>
      </w:r>
    </w:p>
    <w:p w:rsidR="00FB4EBC" w:rsidRDefault="00700E85">
      <w:pPr>
        <w:pStyle w:val="Zhlavie10"/>
        <w:keepNext/>
        <w:keepLines/>
        <w:spacing w:after="0"/>
      </w:pPr>
      <w:bookmarkStart w:id="4" w:name="bookmark5"/>
      <w:r>
        <w:t>Článok I.</w:t>
      </w:r>
      <w:bookmarkEnd w:id="4"/>
    </w:p>
    <w:p w:rsidR="00FB4EBC" w:rsidRDefault="00700E85">
      <w:pPr>
        <w:pStyle w:val="Zhlavie10"/>
        <w:keepNext/>
        <w:keepLines/>
        <w:spacing w:after="260"/>
      </w:pPr>
      <w:bookmarkStart w:id="5" w:name="bookmark3"/>
      <w:bookmarkStart w:id="6" w:name="bookmark4"/>
      <w:bookmarkStart w:id="7" w:name="bookmark6"/>
      <w:r>
        <w:t>Východiskové podklady a údaje</w:t>
      </w:r>
      <w:bookmarkEnd w:id="5"/>
      <w:bookmarkEnd w:id="6"/>
      <w:bookmarkEnd w:id="7"/>
    </w:p>
    <w:p w:rsidR="00FB4EBC" w:rsidRDefault="00700E85">
      <w:pPr>
        <w:pStyle w:val="Zkladntext1"/>
        <w:numPr>
          <w:ilvl w:val="0"/>
          <w:numId w:val="1"/>
        </w:numPr>
        <w:tabs>
          <w:tab w:val="left" w:pos="730"/>
        </w:tabs>
        <w:jc w:val="both"/>
      </w:pPr>
      <w:bookmarkStart w:id="8" w:name="bookmark7"/>
      <w:bookmarkEnd w:id="8"/>
      <w:r>
        <w:t>Východiskové údaje:</w:t>
      </w:r>
    </w:p>
    <w:p w:rsidR="00FB4EBC" w:rsidRDefault="00452600" w:rsidP="00452600">
      <w:pPr>
        <w:pStyle w:val="Zkladntext1"/>
        <w:numPr>
          <w:ilvl w:val="0"/>
          <w:numId w:val="2"/>
        </w:numPr>
        <w:tabs>
          <w:tab w:val="left" w:pos="730"/>
        </w:tabs>
        <w:ind w:left="740" w:hanging="740"/>
        <w:jc w:val="both"/>
      </w:pPr>
      <w:bookmarkStart w:id="9" w:name="bookmark8"/>
      <w:bookmarkEnd w:id="9"/>
      <w:r>
        <w:t>Názov stavby: „Zníženie energetickej náročnosti Zariadenia pre seniorov Komárno „</w:t>
      </w:r>
      <w:bookmarkStart w:id="10" w:name="bookmark9"/>
      <w:bookmarkEnd w:id="10"/>
    </w:p>
    <w:p w:rsidR="00FB4EBC" w:rsidRDefault="00700E85">
      <w:pPr>
        <w:pStyle w:val="Zkladntext1"/>
        <w:numPr>
          <w:ilvl w:val="0"/>
          <w:numId w:val="2"/>
        </w:numPr>
        <w:tabs>
          <w:tab w:val="left" w:pos="730"/>
        </w:tabs>
        <w:jc w:val="both"/>
      </w:pPr>
      <w:bookmarkStart w:id="11" w:name="bookmark10"/>
      <w:bookmarkEnd w:id="11"/>
      <w:r>
        <w:t>Miesto stavby: Komárno</w:t>
      </w:r>
    </w:p>
    <w:p w:rsidR="00FB4EBC" w:rsidRDefault="00452600">
      <w:pPr>
        <w:pStyle w:val="Zkladntext1"/>
        <w:numPr>
          <w:ilvl w:val="0"/>
          <w:numId w:val="2"/>
        </w:numPr>
        <w:tabs>
          <w:tab w:val="left" w:pos="730"/>
        </w:tabs>
        <w:jc w:val="both"/>
      </w:pPr>
      <w:bookmarkStart w:id="12" w:name="bookmark11"/>
      <w:bookmarkEnd w:id="12"/>
      <w:r>
        <w:t>Investor (stavebník): Zariadenie pre seniorov Komárno, Špitálska 16</w:t>
      </w:r>
      <w:r w:rsidR="00700E85">
        <w:t xml:space="preserve"> 945 01 Komárno</w:t>
      </w:r>
    </w:p>
    <w:p w:rsidR="00FB4EBC" w:rsidRDefault="00700E85">
      <w:pPr>
        <w:pStyle w:val="Zkladntext1"/>
        <w:numPr>
          <w:ilvl w:val="0"/>
          <w:numId w:val="1"/>
        </w:numPr>
        <w:tabs>
          <w:tab w:val="left" w:pos="730"/>
        </w:tabs>
        <w:jc w:val="both"/>
      </w:pPr>
      <w:bookmarkStart w:id="13" w:name="bookmark12"/>
      <w:bookmarkEnd w:id="13"/>
      <w:r>
        <w:t>Termíny stavby:</w:t>
      </w:r>
    </w:p>
    <w:p w:rsidR="00FB4EBC" w:rsidRDefault="00452600">
      <w:pPr>
        <w:pStyle w:val="Zkladntext1"/>
        <w:numPr>
          <w:ilvl w:val="0"/>
          <w:numId w:val="3"/>
        </w:numPr>
        <w:tabs>
          <w:tab w:val="left" w:pos="1005"/>
        </w:tabs>
        <w:ind w:firstLine="740"/>
        <w:jc w:val="both"/>
      </w:pPr>
      <w:bookmarkStart w:id="14" w:name="bookmark13"/>
      <w:bookmarkEnd w:id="14"/>
      <w:r>
        <w:t>začatie: september  2019</w:t>
      </w:r>
    </w:p>
    <w:p w:rsidR="00FB4EBC" w:rsidRDefault="00700E85">
      <w:pPr>
        <w:pStyle w:val="Zkladntext1"/>
        <w:numPr>
          <w:ilvl w:val="0"/>
          <w:numId w:val="3"/>
        </w:numPr>
        <w:tabs>
          <w:tab w:val="left" w:pos="1005"/>
        </w:tabs>
        <w:spacing w:after="520"/>
        <w:ind w:firstLine="740"/>
        <w:jc w:val="both"/>
      </w:pPr>
      <w:bookmarkStart w:id="15" w:name="bookmark14"/>
      <w:bookmarkEnd w:id="15"/>
      <w:r>
        <w:t>dokonč</w:t>
      </w:r>
      <w:r w:rsidR="00452600">
        <w:t>enie a odovzdanie: 18.11.2019</w:t>
      </w:r>
    </w:p>
    <w:p w:rsidR="00FB4EBC" w:rsidRDefault="00700E85">
      <w:pPr>
        <w:pStyle w:val="Zhlavie10"/>
        <w:keepNext/>
        <w:keepLines/>
        <w:spacing w:after="0"/>
      </w:pPr>
      <w:bookmarkStart w:id="16" w:name="bookmark17"/>
      <w:r>
        <w:t>Článok II.</w:t>
      </w:r>
      <w:bookmarkEnd w:id="16"/>
    </w:p>
    <w:p w:rsidR="00FB4EBC" w:rsidRDefault="00700E85">
      <w:pPr>
        <w:pStyle w:val="Zhlavie10"/>
        <w:keepNext/>
        <w:keepLines/>
        <w:spacing w:after="260"/>
      </w:pPr>
      <w:bookmarkStart w:id="17" w:name="bookmark15"/>
      <w:bookmarkStart w:id="18" w:name="bookmark16"/>
      <w:bookmarkStart w:id="19" w:name="bookmark18"/>
      <w:r>
        <w:t>Predmet zmluvy</w:t>
      </w:r>
      <w:bookmarkEnd w:id="17"/>
      <w:bookmarkEnd w:id="18"/>
      <w:bookmarkEnd w:id="19"/>
    </w:p>
    <w:p w:rsidR="00FB4EBC" w:rsidRDefault="00700E85">
      <w:pPr>
        <w:pStyle w:val="Zkladntext1"/>
        <w:numPr>
          <w:ilvl w:val="0"/>
          <w:numId w:val="4"/>
        </w:numPr>
        <w:tabs>
          <w:tab w:val="left" w:pos="730"/>
        </w:tabs>
        <w:spacing w:after="180"/>
        <w:ind w:left="740" w:hanging="740"/>
        <w:jc w:val="both"/>
      </w:pPr>
      <w:bookmarkStart w:id="20" w:name="bookmark19"/>
      <w:bookmarkEnd w:id="20"/>
      <w:r>
        <w:t>Príkazník sa zaväzuje, že v rámci výkonu inžinierskej činnosti zariadi bezodplatne za podmienok dohodnutých v tejto zmluve pre príkazcu v jeho mene a na jeho účet činnosť technického dozoru počas realizácie stavby a po dokončení stavby v tomto rozsahu.</w:t>
      </w:r>
    </w:p>
    <w:p w:rsidR="00FB4EBC" w:rsidRDefault="00700E85">
      <w:pPr>
        <w:pStyle w:val="Zkladntext1"/>
        <w:numPr>
          <w:ilvl w:val="0"/>
          <w:numId w:val="5"/>
        </w:numPr>
        <w:tabs>
          <w:tab w:val="left" w:pos="715"/>
        </w:tabs>
      </w:pPr>
      <w:bookmarkStart w:id="21" w:name="bookmark20"/>
      <w:bookmarkEnd w:id="21"/>
      <w:r>
        <w:t>Odovzdanie staveniska zhotoviteľovi alebo zhotoviteľom</w:t>
      </w:r>
    </w:p>
    <w:p w:rsidR="00FB4EBC" w:rsidRDefault="00700E85">
      <w:pPr>
        <w:pStyle w:val="Zkladntext1"/>
        <w:numPr>
          <w:ilvl w:val="0"/>
          <w:numId w:val="5"/>
        </w:numPr>
        <w:tabs>
          <w:tab w:val="left" w:pos="715"/>
        </w:tabs>
      </w:pPr>
      <w:bookmarkStart w:id="22" w:name="bookmark21"/>
      <w:bookmarkEnd w:id="22"/>
      <w:r>
        <w:t>Účasť na kontrolnom dni, ktoré zvolá príkazca v priebehu realizácie prác.</w:t>
      </w:r>
    </w:p>
    <w:p w:rsidR="00FB4EBC" w:rsidRDefault="00700E85">
      <w:pPr>
        <w:pStyle w:val="Zkladntext1"/>
        <w:numPr>
          <w:ilvl w:val="0"/>
          <w:numId w:val="5"/>
        </w:numPr>
        <w:tabs>
          <w:tab w:val="left" w:pos="715"/>
        </w:tabs>
        <w:ind w:left="700" w:hanging="700"/>
      </w:pPr>
      <w:bookmarkStart w:id="23" w:name="bookmark22"/>
      <w:bookmarkEnd w:id="23"/>
      <w:r>
        <w:t>Dodržanie podmienok stavebných povolení a iných povolení potrebných pre výstavbu.</w:t>
      </w:r>
    </w:p>
    <w:p w:rsidR="00FB4EBC" w:rsidRDefault="00700E85">
      <w:pPr>
        <w:pStyle w:val="Zkladntext1"/>
        <w:numPr>
          <w:ilvl w:val="0"/>
          <w:numId w:val="5"/>
        </w:numPr>
        <w:tabs>
          <w:tab w:val="left" w:pos="715"/>
        </w:tabs>
      </w:pPr>
      <w:bookmarkStart w:id="24" w:name="bookmark23"/>
      <w:bookmarkEnd w:id="24"/>
      <w:r>
        <w:t>Plnenie opatrení štátneho stavebného dohľadu.</w:t>
      </w:r>
    </w:p>
    <w:p w:rsidR="00FB4EBC" w:rsidRDefault="00700E85">
      <w:pPr>
        <w:pStyle w:val="Zkladntext1"/>
        <w:numPr>
          <w:ilvl w:val="0"/>
          <w:numId w:val="5"/>
        </w:numPr>
        <w:tabs>
          <w:tab w:val="left" w:pos="715"/>
        </w:tabs>
      </w:pPr>
      <w:bookmarkStart w:id="25" w:name="bookmark24"/>
      <w:bookmarkEnd w:id="25"/>
      <w:r>
        <w:t>Riadne archivovanie projektu stavby, overeného v stavebnom konaní.</w:t>
      </w:r>
    </w:p>
    <w:p w:rsidR="00FB4EBC" w:rsidRDefault="00700E85">
      <w:pPr>
        <w:pStyle w:val="Zkladntext1"/>
        <w:numPr>
          <w:ilvl w:val="0"/>
          <w:numId w:val="5"/>
        </w:numPr>
        <w:tabs>
          <w:tab w:val="left" w:pos="715"/>
        </w:tabs>
        <w:ind w:left="700" w:hanging="700"/>
      </w:pPr>
      <w:bookmarkStart w:id="26" w:name="bookmark25"/>
      <w:bookmarkEnd w:id="26"/>
      <w:r>
        <w:t xml:space="preserve">Systematické sledovanie realizácie stavby na základe projektovej dokumentácie, podľa </w:t>
      </w:r>
      <w:r>
        <w:lastRenderedPageBreak/>
        <w:t>ktorej sa stavba realizuje.</w:t>
      </w:r>
    </w:p>
    <w:p w:rsidR="00FB4EBC" w:rsidRDefault="00700E85">
      <w:pPr>
        <w:pStyle w:val="Zkladntext1"/>
        <w:numPr>
          <w:ilvl w:val="0"/>
          <w:numId w:val="5"/>
        </w:numPr>
        <w:tabs>
          <w:tab w:val="left" w:pos="715"/>
        </w:tabs>
        <w:jc w:val="both"/>
      </w:pPr>
      <w:bookmarkStart w:id="27" w:name="bookmark26"/>
      <w:bookmarkEnd w:id="27"/>
      <w:r>
        <w:t>Odovzdanie dokumentácie dokončených častí stavby pre príkazcu.</w:t>
      </w:r>
    </w:p>
    <w:p w:rsidR="00FB4EBC" w:rsidRDefault="00700E85">
      <w:pPr>
        <w:pStyle w:val="Zkladntext1"/>
        <w:numPr>
          <w:ilvl w:val="0"/>
          <w:numId w:val="5"/>
        </w:numPr>
        <w:tabs>
          <w:tab w:val="left" w:pos="715"/>
        </w:tabs>
        <w:ind w:left="700" w:hanging="700"/>
        <w:jc w:val="both"/>
      </w:pPr>
      <w:bookmarkStart w:id="28" w:name="bookmark27"/>
      <w:bookmarkEnd w:id="28"/>
      <w:r>
        <w:t>Odsúhlasovanie dodatkov a zmien projektu, ktoré nezvyšujú cenu stavebného objektu alebo prevádzkového súboru, nepredlžujú lehotu výstavby, nezhoršujú parametre stavby ani jej prevádzkové a úžitkové vlastnosti.</w:t>
      </w:r>
    </w:p>
    <w:p w:rsidR="00FB4EBC" w:rsidRDefault="00700E85">
      <w:pPr>
        <w:pStyle w:val="Zkladntext1"/>
        <w:numPr>
          <w:ilvl w:val="0"/>
          <w:numId w:val="5"/>
        </w:numPr>
        <w:tabs>
          <w:tab w:val="left" w:pos="715"/>
        </w:tabs>
        <w:jc w:val="both"/>
      </w:pPr>
      <w:bookmarkStart w:id="29" w:name="bookmark28"/>
      <w:bookmarkEnd w:id="29"/>
      <w:r>
        <w:t>Kontrola vecnej a cenovej správnosti a úplnosti oceňovacích podkladov.</w:t>
      </w:r>
    </w:p>
    <w:p w:rsidR="00FB4EBC" w:rsidRDefault="00700E85">
      <w:pPr>
        <w:pStyle w:val="Zkladntext1"/>
        <w:numPr>
          <w:ilvl w:val="0"/>
          <w:numId w:val="5"/>
        </w:numPr>
        <w:tabs>
          <w:tab w:val="left" w:pos="834"/>
        </w:tabs>
        <w:ind w:left="700" w:hanging="700"/>
        <w:jc w:val="both"/>
      </w:pPr>
      <w:bookmarkStart w:id="30" w:name="bookmark29"/>
      <w:bookmarkEnd w:id="30"/>
      <w:r>
        <w:t>Kontrola vecnej a cenovej správnosti a úplnosti platobných dokladov a ich súladu s podmienkami zmluvy o dielo a predkladanie týchto dokladov na úhradu objednávateľovi.</w:t>
      </w:r>
    </w:p>
    <w:p w:rsidR="00FB4EBC" w:rsidRDefault="00700E85">
      <w:pPr>
        <w:pStyle w:val="Zkladntext1"/>
        <w:numPr>
          <w:ilvl w:val="0"/>
          <w:numId w:val="5"/>
        </w:numPr>
        <w:tabs>
          <w:tab w:val="left" w:pos="837"/>
        </w:tabs>
        <w:ind w:left="700" w:hanging="700"/>
        <w:jc w:val="both"/>
      </w:pPr>
      <w:bookmarkStart w:id="31" w:name="bookmark30"/>
      <w:bookmarkEnd w:id="31"/>
      <w:r>
        <w:t>Kontrola tých častí stavby, ktoré budú pri ďalšom postupe výstavby zakryté, alebo sa stanú neprístupnými.</w:t>
      </w:r>
    </w:p>
    <w:p w:rsidR="00FB4EBC" w:rsidRDefault="00700E85">
      <w:pPr>
        <w:pStyle w:val="Zkladntext1"/>
        <w:numPr>
          <w:ilvl w:val="0"/>
          <w:numId w:val="5"/>
        </w:numPr>
        <w:tabs>
          <w:tab w:val="left" w:pos="837"/>
        </w:tabs>
        <w:ind w:left="700" w:hanging="700"/>
        <w:jc w:val="both"/>
      </w:pPr>
      <w:bookmarkStart w:id="32" w:name="bookmark31"/>
      <w:bookmarkEnd w:id="32"/>
      <w:r>
        <w:t>Odovzdanie častí stavby v dohodnutom stupni rozostavanosti ďalším zhotoviteľom na ich nadväzné činnosti v súlade so zmluvami.</w:t>
      </w:r>
    </w:p>
    <w:p w:rsidR="00FB4EBC" w:rsidRDefault="00700E85">
      <w:pPr>
        <w:pStyle w:val="Zkladntext1"/>
        <w:numPr>
          <w:ilvl w:val="0"/>
          <w:numId w:val="5"/>
        </w:numPr>
        <w:tabs>
          <w:tab w:val="left" w:pos="837"/>
        </w:tabs>
      </w:pPr>
      <w:bookmarkStart w:id="33" w:name="bookmark32"/>
      <w:bookmarkEnd w:id="33"/>
      <w:r>
        <w:t>Spolupráca s autorským dozorom objednávateľa.</w:t>
      </w:r>
    </w:p>
    <w:p w:rsidR="00FB4EBC" w:rsidRDefault="00700E85">
      <w:pPr>
        <w:pStyle w:val="Zkladntext1"/>
        <w:numPr>
          <w:ilvl w:val="0"/>
          <w:numId w:val="5"/>
        </w:numPr>
        <w:tabs>
          <w:tab w:val="left" w:pos="837"/>
        </w:tabs>
        <w:ind w:left="700" w:hanging="700"/>
        <w:jc w:val="both"/>
      </w:pPr>
      <w:bookmarkStart w:id="34" w:name="bookmark33"/>
      <w:bookmarkEnd w:id="34"/>
      <w:r>
        <w:t>Spolupráca s pracovníkmi, vykonávajúcimi autorský dozor a odborný autorský dohľad, pri zabezpečovaní súladu realizovanej stavby s projektom.</w:t>
      </w:r>
    </w:p>
    <w:p w:rsidR="00FB4EBC" w:rsidRDefault="00700E85">
      <w:pPr>
        <w:pStyle w:val="Zkladntext1"/>
        <w:numPr>
          <w:ilvl w:val="0"/>
          <w:numId w:val="5"/>
        </w:numPr>
        <w:tabs>
          <w:tab w:val="left" w:pos="837"/>
        </w:tabs>
        <w:ind w:left="700" w:hanging="700"/>
        <w:jc w:val="both"/>
      </w:pPr>
      <w:bookmarkStart w:id="35" w:name="bookmark34"/>
      <w:bookmarkEnd w:id="35"/>
      <w:r>
        <w:t>Spolupráca so spracovateľom projektu pre stavebné povolenie, so spracovateľmi realizačných projektov a so zhotoviteľmi pri navrhovaní opatrení na odstránenie prípadných chýb projektov.</w:t>
      </w:r>
    </w:p>
    <w:p w:rsidR="00FB4EBC" w:rsidRDefault="00700E85">
      <w:pPr>
        <w:pStyle w:val="Zkladntext1"/>
        <w:numPr>
          <w:ilvl w:val="0"/>
          <w:numId w:val="5"/>
        </w:numPr>
        <w:tabs>
          <w:tab w:val="left" w:pos="837"/>
        </w:tabs>
        <w:ind w:left="700" w:hanging="700"/>
        <w:jc w:val="both"/>
      </w:pPr>
      <w:bookmarkStart w:id="36" w:name="bookmark35"/>
      <w:bookmarkEnd w:id="36"/>
      <w:r>
        <w:t>Sledovanie, či zhotovitelia vykonávajú skúšky materiálov, konštrukcií, zariadení a prác, kontrola výsledkov skúšok a evidovanie dokladov o výsledkoch týchto skúšok.</w:t>
      </w:r>
    </w:p>
    <w:p w:rsidR="00FB4EBC" w:rsidRDefault="00700E85">
      <w:pPr>
        <w:pStyle w:val="Zkladntext1"/>
        <w:numPr>
          <w:ilvl w:val="0"/>
          <w:numId w:val="5"/>
        </w:numPr>
        <w:tabs>
          <w:tab w:val="left" w:pos="837"/>
        </w:tabs>
      </w:pPr>
      <w:bookmarkStart w:id="37" w:name="bookmark36"/>
      <w:bookmarkEnd w:id="37"/>
      <w:r>
        <w:t>Účasť na komplexnom vyskúšaní.</w:t>
      </w:r>
    </w:p>
    <w:p w:rsidR="00FB4EBC" w:rsidRDefault="00700E85">
      <w:pPr>
        <w:pStyle w:val="Zkladntext1"/>
        <w:numPr>
          <w:ilvl w:val="0"/>
          <w:numId w:val="5"/>
        </w:numPr>
        <w:tabs>
          <w:tab w:val="left" w:pos="837"/>
        </w:tabs>
        <w:ind w:left="700" w:hanging="700"/>
        <w:jc w:val="both"/>
      </w:pPr>
      <w:bookmarkStart w:id="38" w:name="bookmark37"/>
      <w:bookmarkEnd w:id="38"/>
      <w:r>
        <w:t>Postupné vyžadovanie, evidovanie a archivovanie dokladov, preukazujúcich kvalitu diela.</w:t>
      </w:r>
    </w:p>
    <w:p w:rsidR="00FB4EBC" w:rsidRDefault="00700E85">
      <w:pPr>
        <w:pStyle w:val="Zkladntext1"/>
        <w:numPr>
          <w:ilvl w:val="0"/>
          <w:numId w:val="5"/>
        </w:numPr>
        <w:tabs>
          <w:tab w:val="left" w:pos="837"/>
        </w:tabs>
      </w:pPr>
      <w:bookmarkStart w:id="39" w:name="bookmark38"/>
      <w:bookmarkEnd w:id="39"/>
      <w:r>
        <w:t>Sledovanie vedenia stavebných denníkov.</w:t>
      </w:r>
    </w:p>
    <w:p w:rsidR="00FB4EBC" w:rsidRDefault="00700E85">
      <w:pPr>
        <w:pStyle w:val="Zkladntext1"/>
        <w:numPr>
          <w:ilvl w:val="0"/>
          <w:numId w:val="5"/>
        </w:numPr>
        <w:tabs>
          <w:tab w:val="left" w:pos="837"/>
        </w:tabs>
      </w:pPr>
      <w:bookmarkStart w:id="40" w:name="bookmark39"/>
      <w:bookmarkEnd w:id="40"/>
      <w:r>
        <w:t>Hlásenie archeologických nálezov.</w:t>
      </w:r>
    </w:p>
    <w:p w:rsidR="00FB4EBC" w:rsidRDefault="00700E85">
      <w:pPr>
        <w:pStyle w:val="Zkladntext1"/>
        <w:numPr>
          <w:ilvl w:val="0"/>
          <w:numId w:val="5"/>
        </w:numPr>
        <w:tabs>
          <w:tab w:val="left" w:pos="837"/>
        </w:tabs>
        <w:ind w:left="700" w:hanging="700"/>
        <w:jc w:val="both"/>
      </w:pPr>
      <w:bookmarkStart w:id="41" w:name="bookmark40"/>
      <w:bookmarkEnd w:id="41"/>
      <w:r>
        <w:t>Spolupráca s pracovníkmi zhotoviteľov pri vykonávaní opatrení na odvrátenie alebo na obmedzenie škôd pri ohrození zdravia alebo majetku na stavbe.</w:t>
      </w:r>
    </w:p>
    <w:p w:rsidR="00FB4EBC" w:rsidRDefault="00700E85">
      <w:pPr>
        <w:pStyle w:val="Zkladntext1"/>
        <w:numPr>
          <w:ilvl w:val="0"/>
          <w:numId w:val="5"/>
        </w:numPr>
        <w:tabs>
          <w:tab w:val="left" w:pos="837"/>
        </w:tabs>
        <w:ind w:left="700" w:hanging="700"/>
        <w:jc w:val="both"/>
      </w:pPr>
      <w:bookmarkStart w:id="42" w:name="bookmark41"/>
      <w:bookmarkEnd w:id="42"/>
      <w:r>
        <w:t>Kontrola postupu prác podľa harmonogramu, upozornenie zhotoviteľov na nedodržiavanie dohodnutých termínov a spolupráca pri prerokovaní návrhov opatrení zhotoviteľov, smerujúcich k odstráneniu vzniknutého oneskorenia postupu prác.</w:t>
      </w:r>
    </w:p>
    <w:p w:rsidR="00FB4EBC" w:rsidRDefault="00700E85">
      <w:pPr>
        <w:pStyle w:val="Zkladntext1"/>
        <w:numPr>
          <w:ilvl w:val="0"/>
          <w:numId w:val="5"/>
        </w:numPr>
        <w:tabs>
          <w:tab w:val="left" w:pos="837"/>
        </w:tabs>
        <w:ind w:left="700" w:hanging="700"/>
        <w:jc w:val="both"/>
      </w:pPr>
      <w:bookmarkStart w:id="43" w:name="bookmark42"/>
      <w:bookmarkEnd w:id="43"/>
      <w:r>
        <w:t>Príprava podkladov pre uplatňovanie majetkových sankcií, ak objednávateľ o to požiada.</w:t>
      </w:r>
    </w:p>
    <w:p w:rsidR="00FB4EBC" w:rsidRDefault="00700E85">
      <w:pPr>
        <w:pStyle w:val="Zkladntext1"/>
        <w:numPr>
          <w:ilvl w:val="0"/>
          <w:numId w:val="5"/>
        </w:numPr>
        <w:tabs>
          <w:tab w:val="left" w:pos="837"/>
        </w:tabs>
        <w:jc w:val="both"/>
      </w:pPr>
      <w:bookmarkStart w:id="44" w:name="bookmark43"/>
      <w:bookmarkEnd w:id="44"/>
      <w:r>
        <w:t>Príprava podkladov pre záverečné technicko-ekonomické vyhodnotenie stavby.</w:t>
      </w:r>
    </w:p>
    <w:p w:rsidR="00FB4EBC" w:rsidRDefault="00700E85">
      <w:pPr>
        <w:pStyle w:val="Zkladntext1"/>
        <w:numPr>
          <w:ilvl w:val="0"/>
          <w:numId w:val="5"/>
        </w:numPr>
        <w:tabs>
          <w:tab w:val="left" w:pos="837"/>
        </w:tabs>
        <w:ind w:left="700" w:hanging="700"/>
        <w:jc w:val="both"/>
      </w:pPr>
      <w:bookmarkStart w:id="45" w:name="bookmark44"/>
      <w:bookmarkEnd w:id="45"/>
      <w:r>
        <w:t>Príprava podkladov pre odovzdanie a prevzatie stavby alebo jej častí a účasť na konaní o odovzdaní a prevzatí.</w:t>
      </w:r>
    </w:p>
    <w:p w:rsidR="00FB4EBC" w:rsidRDefault="00700E85">
      <w:pPr>
        <w:pStyle w:val="Zkladntext1"/>
        <w:numPr>
          <w:ilvl w:val="0"/>
          <w:numId w:val="5"/>
        </w:numPr>
        <w:tabs>
          <w:tab w:val="left" w:pos="837"/>
        </w:tabs>
        <w:jc w:val="both"/>
      </w:pPr>
      <w:bookmarkStart w:id="46" w:name="bookmark45"/>
      <w:bookmarkEnd w:id="46"/>
      <w:r>
        <w:t>Kontrola dokladov, ktoré zhotoviteľ pripraví k odovzdaniu a prevzatiu diela.</w:t>
      </w:r>
    </w:p>
    <w:p w:rsidR="00FB4EBC" w:rsidRDefault="00700E85">
      <w:pPr>
        <w:pStyle w:val="Zkladntext1"/>
        <w:numPr>
          <w:ilvl w:val="0"/>
          <w:numId w:val="5"/>
        </w:numPr>
        <w:tabs>
          <w:tab w:val="left" w:pos="837"/>
        </w:tabs>
        <w:ind w:left="700" w:hanging="700"/>
        <w:jc w:val="both"/>
      </w:pPr>
      <w:bookmarkStart w:id="47" w:name="bookmark46"/>
      <w:bookmarkEnd w:id="47"/>
      <w:r>
        <w:t>Kontrola, či zhotoviteľ odstraňuje chyby a nedorobky, zistené pri odovzdaní a prevzatí diela v dohodnutých lehotách a potvrdzovanie dokladov o odstránení chýb a nedorobkov.</w:t>
      </w:r>
    </w:p>
    <w:p w:rsidR="00FB4EBC" w:rsidRDefault="00700E85">
      <w:pPr>
        <w:pStyle w:val="Zkladntext1"/>
        <w:numPr>
          <w:ilvl w:val="0"/>
          <w:numId w:val="5"/>
        </w:numPr>
        <w:tabs>
          <w:tab w:val="left" w:pos="837"/>
        </w:tabs>
      </w:pPr>
      <w:bookmarkStart w:id="48" w:name="bookmark47"/>
      <w:bookmarkEnd w:id="48"/>
      <w:r>
        <w:t>Účasť na kolaudačnom konaní.</w:t>
      </w:r>
    </w:p>
    <w:p w:rsidR="00FB4EBC" w:rsidRDefault="00700E85">
      <w:pPr>
        <w:pStyle w:val="Zkladntext1"/>
        <w:numPr>
          <w:ilvl w:val="0"/>
          <w:numId w:val="5"/>
        </w:numPr>
        <w:tabs>
          <w:tab w:val="left" w:pos="837"/>
        </w:tabs>
      </w:pPr>
      <w:bookmarkStart w:id="49" w:name="bookmark48"/>
      <w:bookmarkEnd w:id="49"/>
      <w:r>
        <w:t>Účasť na vyhodnotení skúšobnej prevádzky.</w:t>
      </w:r>
    </w:p>
    <w:p w:rsidR="00FB4EBC" w:rsidRDefault="00700E85">
      <w:pPr>
        <w:pStyle w:val="Zkladntext1"/>
        <w:numPr>
          <w:ilvl w:val="0"/>
          <w:numId w:val="5"/>
        </w:numPr>
        <w:tabs>
          <w:tab w:val="left" w:pos="837"/>
        </w:tabs>
      </w:pPr>
      <w:bookmarkStart w:id="50" w:name="bookmark49"/>
      <w:bookmarkEnd w:id="50"/>
      <w:r>
        <w:t>Kontrola vypratania staveniska.</w:t>
      </w:r>
    </w:p>
    <w:p w:rsidR="00FB4EBC" w:rsidRDefault="00700E85">
      <w:pPr>
        <w:pStyle w:val="Zkladntext1"/>
        <w:numPr>
          <w:ilvl w:val="0"/>
          <w:numId w:val="5"/>
        </w:numPr>
        <w:tabs>
          <w:tab w:val="left" w:pos="837"/>
        </w:tabs>
        <w:ind w:left="700" w:hanging="700"/>
        <w:jc w:val="both"/>
      </w:pPr>
      <w:bookmarkStart w:id="51" w:name="bookmark50"/>
      <w:bookmarkEnd w:id="51"/>
      <w:r>
        <w:t>Bezodkladné informovanie objednávateľa o všetkých závažných skutočnostiach na stavbe.</w:t>
      </w:r>
    </w:p>
    <w:p w:rsidR="00FB4EBC" w:rsidRDefault="00700E85">
      <w:pPr>
        <w:pStyle w:val="Zhlavie10"/>
        <w:keepNext/>
        <w:keepLines/>
        <w:spacing w:after="0"/>
      </w:pPr>
      <w:bookmarkStart w:id="52" w:name="bookmark53"/>
      <w:r>
        <w:t>Článok III.</w:t>
      </w:r>
      <w:bookmarkEnd w:id="52"/>
    </w:p>
    <w:p w:rsidR="00FB4EBC" w:rsidRDefault="00700E85">
      <w:pPr>
        <w:pStyle w:val="Zhlavie10"/>
        <w:keepNext/>
        <w:keepLines/>
        <w:spacing w:after="240"/>
      </w:pPr>
      <w:bookmarkStart w:id="53" w:name="bookmark51"/>
      <w:bookmarkStart w:id="54" w:name="bookmark52"/>
      <w:bookmarkStart w:id="55" w:name="bookmark54"/>
      <w:r>
        <w:t>Čas plnenia</w:t>
      </w:r>
      <w:bookmarkEnd w:id="53"/>
      <w:bookmarkEnd w:id="54"/>
      <w:bookmarkEnd w:id="55"/>
    </w:p>
    <w:p w:rsidR="00FB4EBC" w:rsidRDefault="00700E85">
      <w:pPr>
        <w:pStyle w:val="Zkladntext1"/>
        <w:numPr>
          <w:ilvl w:val="0"/>
          <w:numId w:val="6"/>
        </w:numPr>
        <w:tabs>
          <w:tab w:val="left" w:pos="705"/>
        </w:tabs>
        <w:ind w:left="700" w:hanging="700"/>
        <w:jc w:val="both"/>
      </w:pPr>
      <w:bookmarkStart w:id="56" w:name="bookmark55"/>
      <w:bookmarkEnd w:id="56"/>
      <w:r>
        <w:t>Príkazník sa zaväzuje plniť predmet v rozsahu článku II. tejto zmluvy počas realizácie stavby. Term</w:t>
      </w:r>
      <w:r w:rsidR="00452600">
        <w:t xml:space="preserve">ín začatia činnosti september 2019 </w:t>
      </w:r>
      <w:r>
        <w:t xml:space="preserve"> a term</w:t>
      </w:r>
      <w:r w:rsidR="00452600">
        <w:t>ín dokončenia činnosti 18.11.</w:t>
      </w:r>
      <w:r>
        <w:t>2019.</w:t>
      </w:r>
    </w:p>
    <w:p w:rsidR="00FB4EBC" w:rsidRDefault="00700E85">
      <w:pPr>
        <w:pStyle w:val="Zkladntext1"/>
        <w:numPr>
          <w:ilvl w:val="0"/>
          <w:numId w:val="6"/>
        </w:numPr>
        <w:tabs>
          <w:tab w:val="left" w:pos="705"/>
        </w:tabs>
        <w:ind w:left="700" w:hanging="700"/>
        <w:jc w:val="both"/>
      </w:pPr>
      <w:bookmarkStart w:id="57" w:name="bookmark56"/>
      <w:bookmarkEnd w:id="57"/>
      <w:r>
        <w:t>Ak dôjde k predĺženiu lehoty výkonu činnosti technického dozoru dohodnutej v tejto zmluve z dôvodu, ktorý nebude na strane príkazníka, zmluvné strany upravia čas plnenia formou písomného dodatku k tejto zmluve.</w:t>
      </w:r>
    </w:p>
    <w:p w:rsidR="00FB4EBC" w:rsidRDefault="00700E85">
      <w:pPr>
        <w:pStyle w:val="Zkladntext1"/>
        <w:numPr>
          <w:ilvl w:val="0"/>
          <w:numId w:val="6"/>
        </w:numPr>
        <w:tabs>
          <w:tab w:val="left" w:pos="705"/>
        </w:tabs>
        <w:spacing w:after="500"/>
        <w:ind w:left="700" w:hanging="700"/>
        <w:jc w:val="both"/>
      </w:pPr>
      <w:bookmarkStart w:id="58" w:name="bookmark57"/>
      <w:bookmarkEnd w:id="58"/>
      <w:r>
        <w:t>Príkazca sa zaväzuje vytvoriť podmienky na to, aby príkazník mohol činnosti technického dozoru, v rozsahu článkul I. tejto zmluvy riadne a včas splniť.</w:t>
      </w:r>
    </w:p>
    <w:p w:rsidR="00FB4EBC" w:rsidRDefault="00700E85">
      <w:pPr>
        <w:pStyle w:val="Zhlavie10"/>
        <w:keepNext/>
        <w:keepLines/>
        <w:spacing w:after="0"/>
      </w:pPr>
      <w:bookmarkStart w:id="59" w:name="bookmark60"/>
      <w:r>
        <w:lastRenderedPageBreak/>
        <w:t>Článok IV.</w:t>
      </w:r>
      <w:bookmarkEnd w:id="59"/>
    </w:p>
    <w:p w:rsidR="00FB4EBC" w:rsidRDefault="00700E85">
      <w:pPr>
        <w:pStyle w:val="Zhlavie10"/>
        <w:keepNext/>
        <w:keepLines/>
        <w:spacing w:after="240"/>
      </w:pPr>
      <w:bookmarkStart w:id="60" w:name="bookmark58"/>
      <w:bookmarkStart w:id="61" w:name="bookmark59"/>
      <w:bookmarkStart w:id="62" w:name="bookmark61"/>
      <w:r>
        <w:t>Práva a povinnosti zmluvných strán</w:t>
      </w:r>
      <w:bookmarkEnd w:id="60"/>
      <w:bookmarkEnd w:id="61"/>
      <w:bookmarkEnd w:id="62"/>
    </w:p>
    <w:p w:rsidR="00FB4EBC" w:rsidRDefault="00700E85">
      <w:pPr>
        <w:pStyle w:val="Zkladntext1"/>
        <w:numPr>
          <w:ilvl w:val="0"/>
          <w:numId w:val="7"/>
        </w:numPr>
        <w:tabs>
          <w:tab w:val="left" w:pos="705"/>
        </w:tabs>
        <w:ind w:left="700" w:hanging="700"/>
        <w:jc w:val="both"/>
      </w:pPr>
      <w:bookmarkStart w:id="63" w:name="bookmark62"/>
      <w:bookmarkEnd w:id="63"/>
      <w:r>
        <w:t>Príkazník je povinný vykonať činnosť podľa čl. I zmluvy osobne. Príkazník je oprávnený ustanoviť si zástupcu len s písomným súhlasom príkazcu.</w:t>
      </w:r>
    </w:p>
    <w:p w:rsidR="00FB4EBC" w:rsidRDefault="00700E85">
      <w:pPr>
        <w:pStyle w:val="Zkladntext1"/>
        <w:numPr>
          <w:ilvl w:val="0"/>
          <w:numId w:val="8"/>
        </w:numPr>
        <w:tabs>
          <w:tab w:val="left" w:pos="705"/>
        </w:tabs>
        <w:ind w:left="700" w:hanging="700"/>
        <w:jc w:val="both"/>
      </w:pPr>
      <w:bookmarkStart w:id="64" w:name="bookmark63"/>
      <w:bookmarkEnd w:id="64"/>
      <w:r>
        <w:t>Príkazník je povinný konať pri plnení príkazu podľa svojich schopností a znalostí a podľa pokynov príkazcu. Od jeho pokynov sa môže odchýliť len vtedy, ak je to nevyhnutné v záujme príkazcu a zároveň si nemôže vopred včas obstarať jeho súhlas.</w:t>
      </w:r>
    </w:p>
    <w:p w:rsidR="00FB4EBC" w:rsidRDefault="00700E85">
      <w:pPr>
        <w:pStyle w:val="Zkladntext1"/>
        <w:numPr>
          <w:ilvl w:val="0"/>
          <w:numId w:val="9"/>
        </w:numPr>
        <w:tabs>
          <w:tab w:val="left" w:pos="705"/>
        </w:tabs>
        <w:ind w:left="700" w:hanging="700"/>
        <w:jc w:val="both"/>
      </w:pPr>
      <w:bookmarkStart w:id="65" w:name="bookmark64"/>
      <w:bookmarkEnd w:id="65"/>
      <w:r>
        <w:t>Príkazník je povinný upozorniť príkazcu na nevhodnosť jeho pokynov, následkom ktorých by mohla vzniknúť príkazcovi škoda. Ak napriek upozorneniu bude príkazca trvať na splnení pokynov, príkazník nezodpovedá za takto vzniknutú škodu.</w:t>
      </w:r>
    </w:p>
    <w:p w:rsidR="00FB4EBC" w:rsidRDefault="00700E85">
      <w:pPr>
        <w:pStyle w:val="Zkladntext1"/>
        <w:numPr>
          <w:ilvl w:val="0"/>
          <w:numId w:val="9"/>
        </w:numPr>
        <w:tabs>
          <w:tab w:val="left" w:pos="705"/>
        </w:tabs>
        <w:ind w:left="700" w:hanging="700"/>
        <w:jc w:val="both"/>
      </w:pPr>
      <w:bookmarkStart w:id="66" w:name="bookmark65"/>
      <w:bookmarkEnd w:id="66"/>
      <w:r>
        <w:t>Príkazník bude informovať príkazcu o priebehu realizácie stavby a ním zabezpečovaných činností na pravidelných poradách stavby a odosielaním kópií dôležitej obchodnej a inej korešpondencie (stavebné denníky, objednávky, zmluvy, reklamácie, zápisy z rokovaní a iné).</w:t>
      </w:r>
    </w:p>
    <w:p w:rsidR="00FB4EBC" w:rsidRDefault="00700E85">
      <w:pPr>
        <w:pStyle w:val="Zkladntext1"/>
        <w:numPr>
          <w:ilvl w:val="0"/>
          <w:numId w:val="9"/>
        </w:numPr>
        <w:tabs>
          <w:tab w:val="left" w:pos="705"/>
        </w:tabs>
        <w:ind w:left="700" w:hanging="700"/>
        <w:jc w:val="both"/>
      </w:pPr>
      <w:bookmarkStart w:id="67" w:name="bookmark66"/>
      <w:bookmarkEnd w:id="67"/>
      <w:r>
        <w:t>Príkazca a Príkazník sa zaväzujú, že obchodné a technické informácie, ktoré im boli zverené zmluvným partnerom, nesprístupnia tretím osobám bez jeho písomného súhlasu, alebo tieto informácie nepoužijú pre iné účely, ako pre plnenie podmienok tejto zmluvy.</w:t>
      </w:r>
    </w:p>
    <w:p w:rsidR="00FB4EBC" w:rsidRDefault="00700E85">
      <w:pPr>
        <w:pStyle w:val="Zkladntext1"/>
        <w:numPr>
          <w:ilvl w:val="0"/>
          <w:numId w:val="9"/>
        </w:numPr>
        <w:tabs>
          <w:tab w:val="left" w:pos="705"/>
        </w:tabs>
        <w:ind w:left="700" w:hanging="700"/>
        <w:jc w:val="both"/>
      </w:pPr>
      <w:bookmarkStart w:id="68" w:name="bookmark67"/>
      <w:bookmarkEnd w:id="68"/>
      <w:r>
        <w:t>Príkazník bude pri zabezpečovaní činností podľa bodu II. tejto zmluvy postupovať s odbornou starostlivosťou. Svoju činnosť bude príkazník uskutočňovať v súlade so záujmami príkazcu a podľa jeho pokynov, zápisov a dohôd oprávnených pracovníkov zmluvných strán a v súlade s vyjadreniami a rozhodnutiami dotknutých orgánov štátnej správy a samosprávy.</w:t>
      </w:r>
    </w:p>
    <w:p w:rsidR="00FB4EBC" w:rsidRDefault="00700E85">
      <w:pPr>
        <w:pStyle w:val="Zkladntext1"/>
        <w:numPr>
          <w:ilvl w:val="0"/>
          <w:numId w:val="9"/>
        </w:numPr>
        <w:tabs>
          <w:tab w:val="left" w:pos="705"/>
        </w:tabs>
        <w:ind w:left="700" w:hanging="700"/>
        <w:jc w:val="both"/>
      </w:pPr>
      <w:bookmarkStart w:id="69" w:name="bookmark68"/>
      <w:bookmarkEnd w:id="69"/>
      <w:r>
        <w:t>Príkazca zodpovedá príkazníkovi za škodu vzniknutú na jeho veciach pri vykonaní príkazu.</w:t>
      </w:r>
    </w:p>
    <w:p w:rsidR="00FB4EBC" w:rsidRDefault="00700E85">
      <w:pPr>
        <w:pStyle w:val="Zkladntext1"/>
        <w:numPr>
          <w:ilvl w:val="0"/>
          <w:numId w:val="9"/>
        </w:numPr>
        <w:tabs>
          <w:tab w:val="left" w:pos="705"/>
        </w:tabs>
        <w:spacing w:after="500"/>
        <w:ind w:left="700" w:hanging="700"/>
        <w:jc w:val="both"/>
      </w:pPr>
      <w:bookmarkStart w:id="70" w:name="bookmark69"/>
      <w:bookmarkEnd w:id="70"/>
      <w:r>
        <w:t>Zmluvné strany sú povinné poskytnúť si navzájom maximálnu súčinnosť v súvislosti s plnením povinností podľa tejto zmluvy.</w:t>
      </w:r>
    </w:p>
    <w:p w:rsidR="00BE0A76" w:rsidRDefault="00BE0A76">
      <w:pPr>
        <w:pStyle w:val="Zhlavie10"/>
        <w:keepNext/>
        <w:keepLines/>
        <w:spacing w:after="240"/>
      </w:pPr>
      <w:bookmarkStart w:id="71" w:name="bookmark70"/>
      <w:bookmarkStart w:id="72" w:name="bookmark71"/>
      <w:bookmarkStart w:id="73" w:name="bookmark72"/>
    </w:p>
    <w:p w:rsidR="00BE0A76" w:rsidRDefault="00BE0A76">
      <w:pPr>
        <w:pStyle w:val="Zhlavie10"/>
        <w:keepNext/>
        <w:keepLines/>
        <w:spacing w:after="240"/>
      </w:pPr>
    </w:p>
    <w:p w:rsidR="00FB4EBC" w:rsidRDefault="00700E85">
      <w:pPr>
        <w:pStyle w:val="Zhlavie10"/>
        <w:keepNext/>
        <w:keepLines/>
        <w:spacing w:after="240"/>
      </w:pPr>
      <w:r>
        <w:t>Článok V.</w:t>
      </w:r>
      <w:r>
        <w:br/>
        <w:t>Splnomocnenie</w:t>
      </w:r>
      <w:bookmarkEnd w:id="71"/>
      <w:bookmarkEnd w:id="72"/>
      <w:bookmarkEnd w:id="73"/>
    </w:p>
    <w:p w:rsidR="00FB4EBC" w:rsidRDefault="00700E85" w:rsidP="00BE0A76">
      <w:pPr>
        <w:pStyle w:val="Zkladntext1"/>
        <w:numPr>
          <w:ilvl w:val="0"/>
          <w:numId w:val="10"/>
        </w:numPr>
        <w:tabs>
          <w:tab w:val="left" w:pos="695"/>
        </w:tabs>
        <w:spacing w:after="240"/>
        <w:ind w:left="700" w:hanging="700"/>
        <w:jc w:val="both"/>
      </w:pPr>
      <w:bookmarkStart w:id="74" w:name="bookmark73"/>
      <w:bookmarkEnd w:id="74"/>
      <w:r>
        <w:t>Príkazca, inak investor (objednávateľ, stavebník), udeľuje týmto príkazníkovi písomnú plnú moc, aby podľa § 13 v nadväznosti na § 566 Obchodného zákonníka č. 513/1991 Zb. v znení neskorších zmien a doplnkov, konal pri zabezpečovaní činností v rozsahu čl. II. tejto zmluvy ako jeho zástupca, aby ho zastupoval pri realizácii stavby a v konaní s inými orgánmi a právnickými alebo fyzickými osobami. Najmä je príkazník splnomocnený uzavierať a meniť ako zástupca príkazcu v jeho mene a na jeho účet zmluvy na plnenia a výkony, potrebné pre realizáciu stavby.</w:t>
      </w:r>
      <w:bookmarkStart w:id="75" w:name="bookmark74"/>
      <w:bookmarkEnd w:id="75"/>
      <w:r>
        <w:t>Príkazník bude voči tretím stranám vystupovať ako splnomocnený zástupca investora (stavebníka, objednávateľa) a bude konať v mene a na účet príkazcu.</w:t>
      </w:r>
    </w:p>
    <w:p w:rsidR="00BE0A76" w:rsidRDefault="00700E85" w:rsidP="00BE0A76">
      <w:pPr>
        <w:pStyle w:val="Zkladntext1"/>
        <w:numPr>
          <w:ilvl w:val="0"/>
          <w:numId w:val="10"/>
        </w:numPr>
        <w:tabs>
          <w:tab w:val="left" w:pos="695"/>
        </w:tabs>
      </w:pPr>
      <w:bookmarkStart w:id="76" w:name="bookmark75"/>
      <w:bookmarkEnd w:id="76"/>
      <w:r>
        <w:t>Úkony takto uskutočnené zaväzujú príkazcu v plnom rozsahu.</w:t>
      </w:r>
    </w:p>
    <w:p w:rsidR="00FB4EBC" w:rsidRDefault="00700E85" w:rsidP="00BE0A76">
      <w:pPr>
        <w:pStyle w:val="Zkladntext1"/>
        <w:numPr>
          <w:ilvl w:val="0"/>
          <w:numId w:val="10"/>
        </w:numPr>
        <w:tabs>
          <w:tab w:val="left" w:pos="695"/>
        </w:tabs>
        <w:spacing w:after="640"/>
      </w:pPr>
      <w:bookmarkStart w:id="77" w:name="bookmark76"/>
      <w:bookmarkEnd w:id="77"/>
      <w:r>
        <w:t>Toto splnomocnenie končí uplynutím času plnenia podľa čl. III. tejto zmluvy.</w:t>
      </w:r>
    </w:p>
    <w:p w:rsidR="00FB4EBC" w:rsidRDefault="00700E85">
      <w:pPr>
        <w:pStyle w:val="Zhlavie10"/>
        <w:keepNext/>
        <w:keepLines/>
      </w:pPr>
      <w:bookmarkStart w:id="78" w:name="bookmark79"/>
      <w:r>
        <w:lastRenderedPageBreak/>
        <w:t>Článok VI.</w:t>
      </w:r>
      <w:bookmarkEnd w:id="78"/>
    </w:p>
    <w:p w:rsidR="00FB4EBC" w:rsidRDefault="00700E85">
      <w:pPr>
        <w:pStyle w:val="Zhlavie10"/>
        <w:keepNext/>
        <w:keepLines/>
      </w:pPr>
      <w:bookmarkStart w:id="79" w:name="bookmark77"/>
      <w:bookmarkStart w:id="80" w:name="bookmark78"/>
      <w:bookmarkStart w:id="81" w:name="bookmark80"/>
      <w:r>
        <w:t>Zánik príkaznej zmluvy</w:t>
      </w:r>
      <w:bookmarkEnd w:id="79"/>
      <w:bookmarkEnd w:id="80"/>
      <w:bookmarkEnd w:id="81"/>
    </w:p>
    <w:p w:rsidR="00FB4EBC" w:rsidRDefault="00700E85">
      <w:pPr>
        <w:pStyle w:val="Zkladntext1"/>
        <w:spacing w:after="520"/>
      </w:pPr>
      <w:r>
        <w:t>Zmluvné strany sú oprávnené vypovedať túto zmluvu i bez uvedenia dôvodov. Výpoveď zmluvy musí byť urobená písomne. Výpovedná lehota je jednomesačná a začína plynúť prvým dňom mesiaca nasledujúceho po doručení výpovede druhej zmluvnej strane.</w:t>
      </w:r>
    </w:p>
    <w:p w:rsidR="00FB4EBC" w:rsidRDefault="00700E85">
      <w:pPr>
        <w:pStyle w:val="Zhlavie10"/>
        <w:keepNext/>
        <w:keepLines/>
      </w:pPr>
      <w:bookmarkStart w:id="82" w:name="bookmark83"/>
      <w:r>
        <w:t>Článok VII.</w:t>
      </w:r>
      <w:bookmarkEnd w:id="82"/>
    </w:p>
    <w:p w:rsidR="00FB4EBC" w:rsidRDefault="00700E85">
      <w:pPr>
        <w:pStyle w:val="Zhlavie10"/>
        <w:keepNext/>
        <w:keepLines/>
      </w:pPr>
      <w:bookmarkStart w:id="83" w:name="bookmark81"/>
      <w:bookmarkStart w:id="84" w:name="bookmark82"/>
      <w:bookmarkStart w:id="85" w:name="bookmark84"/>
      <w:r>
        <w:t>Záverečné ustanovenia</w:t>
      </w:r>
      <w:bookmarkEnd w:id="83"/>
      <w:bookmarkEnd w:id="84"/>
      <w:bookmarkEnd w:id="85"/>
    </w:p>
    <w:p w:rsidR="00FB4EBC" w:rsidRDefault="00700E85">
      <w:pPr>
        <w:pStyle w:val="Zkladntext1"/>
        <w:numPr>
          <w:ilvl w:val="0"/>
          <w:numId w:val="11"/>
        </w:numPr>
        <w:tabs>
          <w:tab w:val="left" w:pos="695"/>
        </w:tabs>
        <w:spacing w:after="140"/>
        <w:ind w:left="700" w:hanging="700"/>
      </w:pPr>
      <w:bookmarkStart w:id="86" w:name="bookmark85"/>
      <w:bookmarkEnd w:id="86"/>
      <w:r>
        <w:t>Zmluvné strany sa dohodli, že túto zmluvu je možné po vzájomnej dohode meniť alebo doplniť iba písomne.</w:t>
      </w:r>
    </w:p>
    <w:p w:rsidR="00FB4EBC" w:rsidRDefault="00700E85">
      <w:pPr>
        <w:pStyle w:val="Zkladntext1"/>
        <w:numPr>
          <w:ilvl w:val="0"/>
          <w:numId w:val="11"/>
        </w:numPr>
        <w:tabs>
          <w:tab w:val="left" w:pos="695"/>
        </w:tabs>
        <w:spacing w:after="140"/>
      </w:pPr>
      <w:bookmarkStart w:id="87" w:name="bookmark86"/>
      <w:bookmarkEnd w:id="87"/>
      <w:r>
        <w:t>Zmluva nadobúda platnosť a účinnosť okamihom jej podpísania zmluvnými stranami.</w:t>
      </w:r>
    </w:p>
    <w:p w:rsidR="00FB4EBC" w:rsidRDefault="00700E85">
      <w:pPr>
        <w:pStyle w:val="Zkladntext1"/>
        <w:numPr>
          <w:ilvl w:val="0"/>
          <w:numId w:val="11"/>
        </w:numPr>
        <w:tabs>
          <w:tab w:val="left" w:pos="695"/>
        </w:tabs>
        <w:spacing w:after="140"/>
        <w:ind w:left="700" w:hanging="700"/>
      </w:pPr>
      <w:bookmarkStart w:id="88" w:name="bookmark87"/>
      <w:bookmarkEnd w:id="88"/>
      <w:r>
        <w:t>Zmluva je vyhotovená v troch rovnopisoch, z ktorých dva obdrží príkazca a jeden rovnopis príkazník.</w:t>
      </w:r>
    </w:p>
    <w:p w:rsidR="00FB4EBC" w:rsidRDefault="00700E85">
      <w:pPr>
        <w:pStyle w:val="Zkladntext1"/>
        <w:numPr>
          <w:ilvl w:val="0"/>
          <w:numId w:val="11"/>
        </w:numPr>
        <w:tabs>
          <w:tab w:val="left" w:pos="695"/>
        </w:tabs>
        <w:ind w:left="700" w:hanging="700"/>
      </w:pPr>
      <w:bookmarkStart w:id="89" w:name="bookmark88"/>
      <w:bookmarkEnd w:id="89"/>
      <w:r>
        <w:t>Zmluvné strany prehlasujú a svojimi podpismi potvrdzujú, že ich zmluvná voľnosť nie je obmedzená, zmluvu uzavreli slobodne, vážne, určite a zrozumiteľne, nie v tiesni</w:t>
      </w:r>
    </w:p>
    <w:p w:rsidR="00FB4EBC" w:rsidRDefault="00700E85">
      <w:pPr>
        <w:pStyle w:val="Zkladntext1"/>
        <w:ind w:firstLine="700"/>
        <w:sectPr w:rsidR="00FB4EBC">
          <w:pgSz w:w="11900" w:h="16840"/>
          <w:pgMar w:top="1344" w:right="1400" w:bottom="1543" w:left="1270" w:header="916" w:footer="1115" w:gutter="0"/>
          <w:pgNumType w:start="1"/>
          <w:cols w:space="720"/>
          <w:noEndnote/>
          <w:docGrid w:linePitch="360"/>
        </w:sectPr>
      </w:pPr>
      <w:r>
        <w:t>a ani nie za nevýhodných podmienok.</w:t>
      </w:r>
    </w:p>
    <w:p w:rsidR="00FB4EBC" w:rsidRDefault="00FB4EBC">
      <w:pPr>
        <w:spacing w:line="240" w:lineRule="exact"/>
        <w:rPr>
          <w:sz w:val="19"/>
          <w:szCs w:val="19"/>
        </w:rPr>
      </w:pPr>
    </w:p>
    <w:p w:rsidR="00FB4EBC" w:rsidRDefault="00FB4EBC">
      <w:pPr>
        <w:spacing w:line="240" w:lineRule="exact"/>
        <w:rPr>
          <w:sz w:val="19"/>
          <w:szCs w:val="19"/>
        </w:rPr>
      </w:pPr>
    </w:p>
    <w:p w:rsidR="00FB4EBC" w:rsidRDefault="00FB4EBC">
      <w:pPr>
        <w:spacing w:line="240" w:lineRule="exact"/>
        <w:rPr>
          <w:sz w:val="19"/>
          <w:szCs w:val="19"/>
        </w:rPr>
      </w:pPr>
    </w:p>
    <w:p w:rsidR="00FB4EBC" w:rsidRDefault="00FB4EBC">
      <w:pPr>
        <w:spacing w:line="240" w:lineRule="exact"/>
        <w:rPr>
          <w:sz w:val="19"/>
          <w:szCs w:val="19"/>
        </w:rPr>
      </w:pPr>
    </w:p>
    <w:p w:rsidR="00FB4EBC" w:rsidRDefault="00FB4EBC">
      <w:pPr>
        <w:spacing w:before="11" w:after="11" w:line="240" w:lineRule="exact"/>
        <w:rPr>
          <w:sz w:val="19"/>
          <w:szCs w:val="19"/>
        </w:rPr>
      </w:pPr>
    </w:p>
    <w:p w:rsidR="00FB4EBC" w:rsidRDefault="00FB4EBC">
      <w:pPr>
        <w:spacing w:line="1" w:lineRule="exact"/>
        <w:sectPr w:rsidR="00FB4EBC">
          <w:type w:val="continuous"/>
          <w:pgSz w:w="11900" w:h="16840"/>
          <w:pgMar w:top="1235" w:right="0" w:bottom="3828" w:left="0" w:header="0" w:footer="3" w:gutter="0"/>
          <w:cols w:space="720"/>
          <w:noEndnote/>
          <w:docGrid w:linePitch="360"/>
        </w:sectPr>
      </w:pPr>
    </w:p>
    <w:p w:rsidR="00FB4EBC" w:rsidRDefault="00452600">
      <w:pPr>
        <w:pStyle w:val="Zkladntext1"/>
        <w:sectPr w:rsidR="00FB4EBC">
          <w:type w:val="continuous"/>
          <w:pgSz w:w="11900" w:h="16840"/>
          <w:pgMar w:top="1235" w:right="2080" w:bottom="3828" w:left="1342" w:header="0" w:footer="3" w:gutter="0"/>
          <w:cols w:num="2" w:space="2783"/>
          <w:noEndnote/>
          <w:docGrid w:linePitch="360"/>
        </w:sectPr>
      </w:pPr>
      <w:r>
        <w:t xml:space="preserve">V Komárne, dňa 19.09.2019 </w:t>
      </w:r>
      <w:r>
        <w:t>v Komárne, dňa  19.09.2019</w:t>
      </w:r>
    </w:p>
    <w:p w:rsidR="00FB4EBC" w:rsidRDefault="00FB4EBC">
      <w:pPr>
        <w:spacing w:before="109" w:after="109" w:line="240" w:lineRule="exact"/>
        <w:rPr>
          <w:sz w:val="19"/>
          <w:szCs w:val="19"/>
        </w:rPr>
      </w:pPr>
    </w:p>
    <w:p w:rsidR="00FB4EBC" w:rsidRDefault="00FB4EBC">
      <w:pPr>
        <w:spacing w:line="1" w:lineRule="exact"/>
        <w:sectPr w:rsidR="00FB4EBC">
          <w:type w:val="continuous"/>
          <w:pgSz w:w="11900" w:h="16840"/>
          <w:pgMar w:top="1235" w:right="0" w:bottom="1235" w:left="0" w:header="0" w:footer="3" w:gutter="0"/>
          <w:cols w:space="720"/>
          <w:noEndnote/>
          <w:docGrid w:linePitch="360"/>
        </w:sectPr>
      </w:pPr>
    </w:p>
    <w:p w:rsidR="00FB4EBC" w:rsidRDefault="00FB4EBC" w:rsidP="008950AC">
      <w:pPr>
        <w:spacing w:line="360" w:lineRule="exact"/>
      </w:pPr>
    </w:p>
    <w:p w:rsidR="00452600" w:rsidRDefault="00452600" w:rsidP="008950AC">
      <w:pPr>
        <w:spacing w:line="360" w:lineRule="exact"/>
      </w:pPr>
    </w:p>
    <w:p w:rsidR="00452600" w:rsidRDefault="00452600" w:rsidP="008950AC">
      <w:pPr>
        <w:spacing w:line="360" w:lineRule="exact"/>
      </w:pPr>
    </w:p>
    <w:p w:rsidR="00452600" w:rsidRDefault="00452600" w:rsidP="008950AC">
      <w:pPr>
        <w:spacing w:line="360" w:lineRule="exact"/>
      </w:pPr>
    </w:p>
    <w:p w:rsidR="00452600" w:rsidRDefault="00452600" w:rsidP="008950AC">
      <w:pPr>
        <w:spacing w:line="360" w:lineRule="exact"/>
      </w:pPr>
    </w:p>
    <w:p w:rsidR="00BE0A76" w:rsidRDefault="00BE0A76" w:rsidP="008950AC">
      <w:pPr>
        <w:spacing w:line="360" w:lineRule="exact"/>
      </w:pPr>
    </w:p>
    <w:p w:rsidR="00BE0A76" w:rsidRDefault="00BE0A76" w:rsidP="008950AC">
      <w:pPr>
        <w:spacing w:line="360" w:lineRule="exact"/>
      </w:pPr>
    </w:p>
    <w:p w:rsidR="00BE0A76" w:rsidRDefault="00BE0A76" w:rsidP="008950AC">
      <w:pPr>
        <w:spacing w:line="360" w:lineRule="exact"/>
      </w:pPr>
    </w:p>
    <w:p w:rsidR="00BE0A76" w:rsidRDefault="00BE0A76" w:rsidP="008950AC">
      <w:pPr>
        <w:spacing w:line="360" w:lineRule="exact"/>
      </w:pPr>
    </w:p>
    <w:p w:rsidR="00BE0A76" w:rsidRDefault="00BE0A76" w:rsidP="008950AC">
      <w:pPr>
        <w:spacing w:line="360" w:lineRule="exact"/>
      </w:pPr>
    </w:p>
    <w:p w:rsidR="00452600" w:rsidRDefault="00452600" w:rsidP="008950AC">
      <w:pPr>
        <w:spacing w:line="360" w:lineRule="exact"/>
      </w:pPr>
      <w:r>
        <w:t xml:space="preserve">  _______________________             ______________________</w:t>
      </w:r>
    </w:p>
    <w:p w:rsidR="00452600" w:rsidRDefault="00452600" w:rsidP="008950AC">
      <w:pPr>
        <w:spacing w:line="360" w:lineRule="exact"/>
      </w:pPr>
      <w:r>
        <w:t xml:space="preserve">      Za príkazcu                         za príkazníka</w:t>
      </w:r>
    </w:p>
    <w:sectPr w:rsidR="00452600" w:rsidSect="00FB4EBC">
      <w:type w:val="continuous"/>
      <w:pgSz w:w="11900" w:h="16840"/>
      <w:pgMar w:top="1235" w:right="1450" w:bottom="1235" w:left="12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EA" w:rsidRDefault="004E3CEA" w:rsidP="00FB4EBC">
      <w:r>
        <w:separator/>
      </w:r>
    </w:p>
  </w:endnote>
  <w:endnote w:type="continuationSeparator" w:id="0">
    <w:p w:rsidR="004E3CEA" w:rsidRDefault="004E3CEA" w:rsidP="00FB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EA" w:rsidRDefault="004E3CEA"/>
  </w:footnote>
  <w:footnote w:type="continuationSeparator" w:id="0">
    <w:p w:rsidR="004E3CEA" w:rsidRDefault="004E3C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3CB7"/>
    <w:multiLevelType w:val="multilevel"/>
    <w:tmpl w:val="F464688A"/>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D1B58"/>
    <w:multiLevelType w:val="multilevel"/>
    <w:tmpl w:val="757817CA"/>
    <w:lvl w:ilvl="0">
      <w:start w:val="3"/>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A494F"/>
    <w:multiLevelType w:val="multilevel"/>
    <w:tmpl w:val="319C7D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492A6E"/>
    <w:multiLevelType w:val="multilevel"/>
    <w:tmpl w:val="030636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FA71F1"/>
    <w:multiLevelType w:val="multilevel"/>
    <w:tmpl w:val="D43E024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05280"/>
    <w:multiLevelType w:val="multilevel"/>
    <w:tmpl w:val="9F703AF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C552F"/>
    <w:multiLevelType w:val="multilevel"/>
    <w:tmpl w:val="55D06BBE"/>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546552"/>
    <w:multiLevelType w:val="multilevel"/>
    <w:tmpl w:val="D4D0E5F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4550EB"/>
    <w:multiLevelType w:val="multilevel"/>
    <w:tmpl w:val="11182A0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9374FC"/>
    <w:multiLevelType w:val="multilevel"/>
    <w:tmpl w:val="4C2EF29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104C3"/>
    <w:multiLevelType w:val="multilevel"/>
    <w:tmpl w:val="DF242DA4"/>
    <w:lvl w:ilvl="0">
      <w:start w:val="3"/>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5"/>
  </w:num>
  <w:num w:numId="5">
    <w:abstractNumId w:val="6"/>
  </w:num>
  <w:num w:numId="6">
    <w:abstractNumId w:val="9"/>
  </w:num>
  <w:num w:numId="7">
    <w:abstractNumId w:val="8"/>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BC"/>
    <w:rsid w:val="00392AD4"/>
    <w:rsid w:val="00452600"/>
    <w:rsid w:val="004E3CEA"/>
    <w:rsid w:val="00700E85"/>
    <w:rsid w:val="008950AC"/>
    <w:rsid w:val="00BC1E63"/>
    <w:rsid w:val="00BE0A76"/>
    <w:rsid w:val="00FB4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D3F0A-28F1-428E-BCF1-BAC784C9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B4EBC"/>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1">
    <w:name w:val="Záhlavie #1_"/>
    <w:basedOn w:val="Predvolenpsmoodseku"/>
    <w:link w:val="Zhlavie10"/>
    <w:rsid w:val="00FB4EBC"/>
    <w:rPr>
      <w:rFonts w:ascii="Arial" w:eastAsia="Arial" w:hAnsi="Arial" w:cs="Arial"/>
      <w:b/>
      <w:bCs/>
      <w:i w:val="0"/>
      <w:iCs w:val="0"/>
      <w:smallCaps w:val="0"/>
      <w:strike w:val="0"/>
      <w:sz w:val="22"/>
      <w:szCs w:val="22"/>
      <w:u w:val="none"/>
      <w:shd w:val="clear" w:color="auto" w:fill="auto"/>
    </w:rPr>
  </w:style>
  <w:style w:type="character" w:customStyle="1" w:styleId="Zkladntext">
    <w:name w:val="Základný text_"/>
    <w:basedOn w:val="Predvolenpsmoodseku"/>
    <w:link w:val="Zkladntext1"/>
    <w:rsid w:val="00FB4EBC"/>
    <w:rPr>
      <w:rFonts w:ascii="Arial" w:eastAsia="Arial" w:hAnsi="Arial" w:cs="Arial"/>
      <w:b w:val="0"/>
      <w:bCs w:val="0"/>
      <w:i w:val="0"/>
      <w:iCs w:val="0"/>
      <w:smallCaps w:val="0"/>
      <w:strike w:val="0"/>
      <w:sz w:val="22"/>
      <w:szCs w:val="22"/>
      <w:u w:val="none"/>
      <w:shd w:val="clear" w:color="auto" w:fill="auto"/>
    </w:rPr>
  </w:style>
  <w:style w:type="character" w:customStyle="1" w:styleId="In">
    <w:name w:val="Iné_"/>
    <w:basedOn w:val="Predvolenpsmoodseku"/>
    <w:link w:val="In0"/>
    <w:rsid w:val="00FB4EBC"/>
    <w:rPr>
      <w:rFonts w:ascii="Arial" w:eastAsia="Arial" w:hAnsi="Arial" w:cs="Arial"/>
      <w:b w:val="0"/>
      <w:bCs w:val="0"/>
      <w:i w:val="0"/>
      <w:iCs w:val="0"/>
      <w:smallCaps w:val="0"/>
      <w:strike w:val="0"/>
      <w:sz w:val="22"/>
      <w:szCs w:val="22"/>
      <w:u w:val="none"/>
      <w:shd w:val="clear" w:color="auto" w:fill="auto"/>
    </w:rPr>
  </w:style>
  <w:style w:type="character" w:customStyle="1" w:styleId="Nzovtabuky">
    <w:name w:val="Názov tabuľky_"/>
    <w:basedOn w:val="Predvolenpsmoodseku"/>
    <w:link w:val="Nzovtabuky0"/>
    <w:rsid w:val="00FB4EBC"/>
    <w:rPr>
      <w:rFonts w:ascii="Arial" w:eastAsia="Arial" w:hAnsi="Arial" w:cs="Arial"/>
      <w:b/>
      <w:bCs/>
      <w:i w:val="0"/>
      <w:iCs w:val="0"/>
      <w:smallCaps w:val="0"/>
      <w:strike w:val="0"/>
      <w:sz w:val="22"/>
      <w:szCs w:val="22"/>
      <w:u w:val="none"/>
      <w:shd w:val="clear" w:color="auto" w:fill="auto"/>
    </w:rPr>
  </w:style>
  <w:style w:type="character" w:customStyle="1" w:styleId="Nzovobrzka">
    <w:name w:val="Názov obrázka_"/>
    <w:basedOn w:val="Predvolenpsmoodseku"/>
    <w:link w:val="Nzovobrzka0"/>
    <w:rsid w:val="00FB4EBC"/>
    <w:rPr>
      <w:rFonts w:ascii="Times New Roman" w:eastAsia="Times New Roman" w:hAnsi="Times New Roman" w:cs="Times New Roman"/>
      <w:b/>
      <w:bCs/>
      <w:i w:val="0"/>
      <w:iCs w:val="0"/>
      <w:smallCaps w:val="0"/>
      <w:strike w:val="0"/>
      <w:sz w:val="17"/>
      <w:szCs w:val="17"/>
      <w:u w:val="none"/>
      <w:shd w:val="clear" w:color="auto" w:fill="auto"/>
    </w:rPr>
  </w:style>
  <w:style w:type="paragraph" w:customStyle="1" w:styleId="Zhlavie10">
    <w:name w:val="Záhlavie #1"/>
    <w:basedOn w:val="Normlny"/>
    <w:link w:val="Zhlavie1"/>
    <w:rsid w:val="00FB4EBC"/>
    <w:pPr>
      <w:spacing w:after="140"/>
      <w:jc w:val="center"/>
      <w:outlineLvl w:val="0"/>
    </w:pPr>
    <w:rPr>
      <w:rFonts w:ascii="Arial" w:eastAsia="Arial" w:hAnsi="Arial" w:cs="Arial"/>
      <w:b/>
      <w:bCs/>
      <w:sz w:val="22"/>
      <w:szCs w:val="22"/>
    </w:rPr>
  </w:style>
  <w:style w:type="paragraph" w:customStyle="1" w:styleId="Zkladntext1">
    <w:name w:val="Základný text1"/>
    <w:basedOn w:val="Normlny"/>
    <w:link w:val="Zkladntext"/>
    <w:rsid w:val="00FB4EBC"/>
    <w:rPr>
      <w:rFonts w:ascii="Arial" w:eastAsia="Arial" w:hAnsi="Arial" w:cs="Arial"/>
      <w:sz w:val="22"/>
      <w:szCs w:val="22"/>
    </w:rPr>
  </w:style>
  <w:style w:type="paragraph" w:customStyle="1" w:styleId="In0">
    <w:name w:val="Iné"/>
    <w:basedOn w:val="Normlny"/>
    <w:link w:val="In"/>
    <w:rsid w:val="00FB4EBC"/>
    <w:rPr>
      <w:rFonts w:ascii="Arial" w:eastAsia="Arial" w:hAnsi="Arial" w:cs="Arial"/>
      <w:sz w:val="22"/>
      <w:szCs w:val="22"/>
    </w:rPr>
  </w:style>
  <w:style w:type="paragraph" w:customStyle="1" w:styleId="Nzovtabuky0">
    <w:name w:val="Názov tabuľky"/>
    <w:basedOn w:val="Normlny"/>
    <w:link w:val="Nzovtabuky"/>
    <w:rsid w:val="00FB4EBC"/>
    <w:rPr>
      <w:rFonts w:ascii="Arial" w:eastAsia="Arial" w:hAnsi="Arial" w:cs="Arial"/>
      <w:b/>
      <w:bCs/>
      <w:sz w:val="22"/>
      <w:szCs w:val="22"/>
    </w:rPr>
  </w:style>
  <w:style w:type="paragraph" w:customStyle="1" w:styleId="Nzovobrzka0">
    <w:name w:val="Názov obrázka"/>
    <w:basedOn w:val="Normlny"/>
    <w:link w:val="Nzovobrzka"/>
    <w:rsid w:val="00FB4EBC"/>
    <w:pPr>
      <w:spacing w:line="233" w:lineRule="auto"/>
      <w:jc w:val="center"/>
    </w:pPr>
    <w:rPr>
      <w:rFonts w:ascii="Times New Roman" w:eastAsia="Times New Roman" w:hAnsi="Times New Roman" w:cs="Times New Roman"/>
      <w:b/>
      <w:bCs/>
      <w:sz w:val="17"/>
      <w:szCs w:val="17"/>
    </w:rPr>
  </w:style>
  <w:style w:type="paragraph" w:styleId="Textbubliny">
    <w:name w:val="Balloon Text"/>
    <w:basedOn w:val="Normlny"/>
    <w:link w:val="TextbublinyChar"/>
    <w:uiPriority w:val="99"/>
    <w:semiHidden/>
    <w:unhideWhenUsed/>
    <w:rsid w:val="00BE0A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0A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mzdarka</dc:creator>
  <cp:lastModifiedBy>mzdarka</cp:lastModifiedBy>
  <cp:revision>2</cp:revision>
  <cp:lastPrinted>2019-09-19T10:58:00Z</cp:lastPrinted>
  <dcterms:created xsi:type="dcterms:W3CDTF">2019-09-19T11:02:00Z</dcterms:created>
  <dcterms:modified xsi:type="dcterms:W3CDTF">2019-09-19T11:02:00Z</dcterms:modified>
</cp:coreProperties>
</file>